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pPr w:leftFromText="180" w:rightFromText="180" w:vertAnchor="text" w:horzAnchor="page" w:tblpX="5903" w:tblpY="-577"/>
        <w:tblW w:w="0" w:type="auto"/>
        <w:tblLook w:val="04A0" w:firstRow="1" w:lastRow="0" w:firstColumn="1" w:lastColumn="0" w:noHBand="0" w:noVBand="1"/>
      </w:tblPr>
      <w:tblGrid>
        <w:gridCol w:w="5280"/>
      </w:tblGrid>
      <w:tr w:rsidR="00B92D0F" w14:paraId="72206861" w14:textId="77777777" w:rsidTr="00B92D0F">
        <w:trPr>
          <w:trHeight w:val="1408"/>
        </w:trPr>
        <w:tc>
          <w:tcPr>
            <w:tcW w:w="5280" w:type="dxa"/>
            <w:tcBorders>
              <w:top w:val="nil"/>
              <w:left w:val="nil"/>
              <w:bottom w:val="nil"/>
              <w:right w:val="nil"/>
            </w:tcBorders>
          </w:tcPr>
          <w:p w14:paraId="6D97C2FD" w14:textId="77777777" w:rsidR="00B92D0F" w:rsidRDefault="00B92D0F" w:rsidP="00B92D0F">
            <w:pPr>
              <w:contextualSpacing/>
              <w:rPr>
                <w:rFonts w:ascii="PDF417x" w:hAnsi="PDF417x"/>
                <w:sz w:val="24"/>
                <w:szCs w:val="24"/>
              </w:rPr>
            </w:pPr>
            <w:bookmarkStart w:id="0" w:name="_Hlk107255613"/>
            <w:r>
              <w:rPr>
                <w:rFonts w:ascii="PDF417x" w:hAnsi="PDF417x"/>
                <w:sz w:val="24"/>
                <w:szCs w:val="24"/>
              </w:rPr>
              <w:t>+*xfs*pvs*Akl*cvA*xBj*uCi*voE*cEE*ckk*klD*pBk*-</w:t>
            </w:r>
            <w:r>
              <w:rPr>
                <w:rFonts w:ascii="PDF417x" w:hAnsi="PDF417x"/>
                <w:sz w:val="24"/>
                <w:szCs w:val="24"/>
              </w:rPr>
              <w:br/>
              <w:t>+*yqw*ajm*xDa*zil*ugB*dzb*khx*wEe*ozb*fsc*zew*-</w:t>
            </w:r>
            <w:r>
              <w:rPr>
                <w:rFonts w:ascii="PDF417x" w:hAnsi="PDF417x"/>
                <w:sz w:val="24"/>
                <w:szCs w:val="24"/>
              </w:rPr>
              <w:br/>
              <w:t>+*eDs*lyd*lyd*lyd*lyd*BCj*wrv*Cfs*wvx*zEt*zfE*-</w:t>
            </w:r>
            <w:r>
              <w:rPr>
                <w:rFonts w:ascii="PDF417x" w:hAnsi="PDF417x"/>
                <w:sz w:val="24"/>
                <w:szCs w:val="24"/>
              </w:rPr>
              <w:br/>
              <w:t>+*ftw*BDD*gwg*iyg*aaB*wwq*xtD*BBc*twt*maw*onA*-</w:t>
            </w:r>
            <w:r>
              <w:rPr>
                <w:rFonts w:ascii="PDF417x" w:hAnsi="PDF417x"/>
                <w:sz w:val="24"/>
                <w:szCs w:val="24"/>
              </w:rPr>
              <w:br/>
              <w:t>+*ftA*tgk*Dbt*cyB*Eyc*oDm*xCC*ugk*mBu*CBx*uws*-</w:t>
            </w:r>
            <w:r>
              <w:rPr>
                <w:rFonts w:ascii="PDF417x" w:hAnsi="PDF417x"/>
                <w:sz w:val="24"/>
                <w:szCs w:val="24"/>
              </w:rPr>
              <w:br/>
              <w:t>+*xjq*bkv*Aui*Bsf*qdw*bAn*pzc*jnc*rog*szp*uzq*-</w:t>
            </w:r>
            <w:r>
              <w:rPr>
                <w:rFonts w:ascii="PDF417x" w:hAnsi="PDF417x"/>
                <w:sz w:val="24"/>
                <w:szCs w:val="24"/>
              </w:rPr>
              <w:br/>
            </w:r>
          </w:p>
        </w:tc>
      </w:tr>
      <w:bookmarkEnd w:id="0"/>
    </w:tbl>
    <w:tbl>
      <w:tblPr>
        <w:tblpPr w:leftFromText="180" w:rightFromText="180" w:vertAnchor="text" w:horzAnchor="margin" w:tblpY="219"/>
        <w:tblW w:w="0" w:type="auto"/>
        <w:tblLayout w:type="fixed"/>
        <w:tblLook w:val="0000" w:firstRow="0" w:lastRow="0" w:firstColumn="0" w:lastColumn="0" w:noHBand="0" w:noVBand="0"/>
      </w:tblPr>
      <w:tblGrid>
        <w:gridCol w:w="1008"/>
        <w:gridCol w:w="5130"/>
      </w:tblGrid>
      <w:tr w:rsidR="00675A85" w14:paraId="7AED9397" w14:textId="77777777" w:rsidTr="00675A85">
        <w:trPr>
          <w:trHeight w:val="1152"/>
        </w:trPr>
        <w:tc>
          <w:tcPr>
            <w:tcW w:w="1008" w:type="dxa"/>
          </w:tcPr>
          <w:p w14:paraId="605156D5" w14:textId="77777777" w:rsidR="00675A85" w:rsidRDefault="00675A85" w:rsidP="00675A85"/>
        </w:tc>
        <w:tc>
          <w:tcPr>
            <w:tcW w:w="5130" w:type="dxa"/>
          </w:tcPr>
          <w:p w14:paraId="2B7D247D" w14:textId="77777777" w:rsidR="00675A85" w:rsidRDefault="002C7B0F" w:rsidP="00675A85">
            <w:pPr>
              <w:jc w:val="center"/>
            </w:pPr>
            <w:r>
              <w:drawing>
                <wp:inline distT="0" distB="0" distL="0" distR="0" wp14:anchorId="5CD43384" wp14:editId="53C93D06">
                  <wp:extent cx="457200" cy="581025"/>
                  <wp:effectExtent l="0" t="0" r="0" b="9525"/>
                  <wp:docPr id="135630734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6307342" name="Slika 1"/>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57200" cy="581025"/>
                          </a:xfrm>
                          <a:prstGeom prst="rect">
                            <a:avLst/>
                          </a:prstGeom>
                          <a:noFill/>
                          <a:ln>
                            <a:noFill/>
                          </a:ln>
                        </pic:spPr>
                      </pic:pic>
                    </a:graphicData>
                  </a:graphic>
                </wp:inline>
              </w:drawing>
            </w:r>
          </w:p>
        </w:tc>
      </w:tr>
      <w:tr w:rsidR="00675A85" w14:paraId="49007A3A" w14:textId="77777777" w:rsidTr="00675A85">
        <w:tc>
          <w:tcPr>
            <w:tcW w:w="1008" w:type="dxa"/>
          </w:tcPr>
          <w:p w14:paraId="0744134D" w14:textId="77777777" w:rsidR="00675A85" w:rsidRDefault="00675A85" w:rsidP="00675A85">
            <w:r>
              <w:drawing>
                <wp:inline distT="0" distB="0" distL="0" distR="0" wp14:anchorId="6A36E27F" wp14:editId="569C21BD">
                  <wp:extent cx="396240" cy="495300"/>
                  <wp:effectExtent l="0" t="0" r="3810" b="0"/>
                  <wp:docPr id="1489726804" name="Slika 1489726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6240" cy="495300"/>
                          </a:xfrm>
                          <a:prstGeom prst="rect">
                            <a:avLst/>
                          </a:prstGeom>
                          <a:noFill/>
                          <a:ln>
                            <a:noFill/>
                          </a:ln>
                        </pic:spPr>
                      </pic:pic>
                    </a:graphicData>
                  </a:graphic>
                </wp:inline>
              </w:drawing>
            </w:r>
          </w:p>
        </w:tc>
        <w:tc>
          <w:tcPr>
            <w:tcW w:w="5130" w:type="dxa"/>
          </w:tcPr>
          <w:p w14:paraId="59A525CC" w14:textId="77777777" w:rsidR="00675A85" w:rsidRPr="00A60BD9" w:rsidRDefault="00675A85" w:rsidP="00675A85">
            <w:pPr>
              <w:jc w:val="center"/>
              <w:rPr>
                <w:rFonts w:ascii="Times New Roman" w:hAnsi="Times New Roman" w:cs="Times New Roman"/>
                <w:b/>
              </w:rPr>
            </w:pPr>
            <w:r w:rsidRPr="00A60BD9">
              <w:rPr>
                <w:rFonts w:ascii="Times New Roman" w:hAnsi="Times New Roman" w:cs="Times New Roman"/>
                <w:b/>
              </w:rPr>
              <w:t>REPUBLIKA HRVATSKA</w:t>
            </w:r>
          </w:p>
          <w:p w14:paraId="2FA7DF1F" w14:textId="77777777" w:rsidR="00675A85" w:rsidRPr="00A60BD9" w:rsidRDefault="00675A85" w:rsidP="00675A85">
            <w:pPr>
              <w:jc w:val="center"/>
              <w:rPr>
                <w:rFonts w:ascii="Times New Roman" w:hAnsi="Times New Roman" w:cs="Times New Roman"/>
                <w:b/>
              </w:rPr>
            </w:pPr>
            <w:r w:rsidRPr="00A60BD9">
              <w:rPr>
                <w:rFonts w:ascii="Times New Roman" w:hAnsi="Times New Roman" w:cs="Times New Roman"/>
                <w:b/>
              </w:rPr>
              <w:t>BJELOVARSKO-BILOGORSKA ŽUPANIJA</w:t>
            </w:r>
          </w:p>
          <w:p w14:paraId="56278433" w14:textId="77777777" w:rsidR="00675A85" w:rsidRPr="00A60BD9" w:rsidRDefault="00675A85" w:rsidP="00675A85">
            <w:pPr>
              <w:jc w:val="center"/>
              <w:rPr>
                <w:rFonts w:ascii="Times New Roman" w:hAnsi="Times New Roman" w:cs="Times New Roman"/>
                <w:b/>
              </w:rPr>
            </w:pPr>
            <w:r w:rsidRPr="00A60BD9">
              <w:rPr>
                <w:rFonts w:ascii="Times New Roman" w:hAnsi="Times New Roman" w:cs="Times New Roman"/>
                <w:b/>
              </w:rPr>
              <w:t>GRAD ČAZMA</w:t>
            </w:r>
          </w:p>
          <w:p w14:paraId="45076D7F" w14:textId="6E0834FC" w:rsidR="00675A85" w:rsidRDefault="00A60BD9" w:rsidP="00675A85">
            <w:pPr>
              <w:jc w:val="center"/>
              <w:rPr>
                <w:b/>
              </w:rPr>
            </w:pPr>
            <w:r>
              <w:rPr>
                <w:rFonts w:ascii="Times New Roman" w:hAnsi="Times New Roman" w:cs="Times New Roman"/>
                <w:b/>
              </w:rPr>
              <w:t>GRADSKO VIJEĆE</w:t>
            </w:r>
          </w:p>
        </w:tc>
      </w:tr>
    </w:tbl>
    <w:tbl>
      <w:tblPr>
        <w:tblStyle w:val="TableGrid1"/>
        <w:tblpPr w:leftFromText="180" w:rightFromText="180" w:vertAnchor="text" w:horzAnchor="page" w:tblpX="5881" w:tblpY="-1586"/>
        <w:tblW w:w="0" w:type="auto"/>
        <w:tblLook w:val="04A0" w:firstRow="1" w:lastRow="0" w:firstColumn="1" w:lastColumn="0" w:noHBand="0" w:noVBand="1"/>
      </w:tblPr>
      <w:tblGrid>
        <w:gridCol w:w="5280"/>
      </w:tblGrid>
      <w:tr w:rsidR="00675A85" w:rsidRPr="00B92D0F" w14:paraId="55C58A41" w14:textId="77777777" w:rsidTr="00675A85">
        <w:trPr>
          <w:trHeight w:val="1408"/>
        </w:trPr>
        <w:tc>
          <w:tcPr>
            <w:tcW w:w="5280" w:type="dxa"/>
            <w:tcBorders>
              <w:top w:val="nil"/>
              <w:left w:val="nil"/>
              <w:bottom w:val="nil"/>
              <w:right w:val="nil"/>
            </w:tcBorders>
          </w:tcPr>
          <w:p w14:paraId="325DDBC9" w14:textId="77777777" w:rsidR="00675A85" w:rsidRPr="00B92D0F" w:rsidRDefault="00675A85" w:rsidP="00675A85">
            <w:pPr>
              <w:contextualSpacing/>
              <w:rPr>
                <w:rFonts w:ascii="PDF417x" w:eastAsia="Times New Roman" w:hAnsi="PDF417x" w:cs="Times New Roman"/>
                <w:sz w:val="24"/>
                <w:szCs w:val="24"/>
              </w:rPr>
            </w:pPr>
          </w:p>
        </w:tc>
      </w:tr>
    </w:tbl>
    <w:p w14:paraId="1655D075" w14:textId="77777777" w:rsidR="008C5FE5" w:rsidRDefault="008C5FE5" w:rsidP="00B92D0F">
      <w:pPr>
        <w:jc w:val="both"/>
        <w:rPr>
          <w:rFonts w:eastAsia="Times New Roman" w:cs="Times New Roman"/>
        </w:rPr>
      </w:pPr>
    </w:p>
    <w:p w14:paraId="752AE11B" w14:textId="77777777" w:rsidR="00675A85" w:rsidRDefault="00675A85" w:rsidP="00B92D0F">
      <w:pPr>
        <w:jc w:val="both"/>
        <w:rPr>
          <w:rFonts w:ascii="Calibri" w:eastAsia="Times New Roman" w:hAnsi="Calibri" w:cs="Calibri"/>
          <w:noProof w:val="0"/>
          <w:color w:val="000000"/>
          <w:lang w:eastAsia="hr-HR"/>
        </w:rPr>
      </w:pPr>
    </w:p>
    <w:p w14:paraId="090AC964" w14:textId="77777777" w:rsidR="00675A85" w:rsidRDefault="00675A85" w:rsidP="00B92D0F">
      <w:pPr>
        <w:jc w:val="both"/>
        <w:rPr>
          <w:rFonts w:ascii="Calibri" w:eastAsia="Times New Roman" w:hAnsi="Calibri" w:cs="Calibri"/>
          <w:noProof w:val="0"/>
          <w:color w:val="000000"/>
          <w:lang w:eastAsia="hr-HR"/>
        </w:rPr>
      </w:pPr>
    </w:p>
    <w:p w14:paraId="7DDCA91D" w14:textId="77777777" w:rsidR="00675A85" w:rsidRDefault="00675A85" w:rsidP="00B92D0F">
      <w:pPr>
        <w:jc w:val="both"/>
        <w:rPr>
          <w:rFonts w:ascii="Calibri" w:eastAsia="Times New Roman" w:hAnsi="Calibri" w:cs="Calibri"/>
          <w:noProof w:val="0"/>
          <w:color w:val="000000"/>
          <w:lang w:eastAsia="hr-HR"/>
        </w:rPr>
      </w:pPr>
    </w:p>
    <w:p w14:paraId="1550A8B0" w14:textId="77777777" w:rsidR="00675A85" w:rsidRDefault="00675A85" w:rsidP="00B92D0F">
      <w:pPr>
        <w:jc w:val="both"/>
        <w:rPr>
          <w:rFonts w:ascii="Calibri" w:eastAsia="Times New Roman" w:hAnsi="Calibri" w:cs="Calibri"/>
          <w:noProof w:val="0"/>
          <w:color w:val="000000"/>
          <w:lang w:eastAsia="hr-HR"/>
        </w:rPr>
      </w:pPr>
    </w:p>
    <w:p w14:paraId="526411D2" w14:textId="77777777" w:rsidR="00675A85" w:rsidRDefault="00675A85" w:rsidP="00B92D0F">
      <w:pPr>
        <w:jc w:val="both"/>
        <w:rPr>
          <w:rFonts w:ascii="Calibri" w:eastAsia="Times New Roman" w:hAnsi="Calibri" w:cs="Calibri"/>
          <w:noProof w:val="0"/>
          <w:color w:val="000000"/>
          <w:lang w:eastAsia="hr-HR"/>
        </w:rPr>
      </w:pPr>
    </w:p>
    <w:p w14:paraId="640C93BB" w14:textId="77777777" w:rsidR="00B92D0F" w:rsidRPr="00B92D0F" w:rsidRDefault="00B92D0F" w:rsidP="00B92D0F">
      <w:pPr>
        <w:jc w:val="both"/>
        <w:rPr>
          <w:rFonts w:eastAsia="Times New Roman" w:cs="Times New Roman"/>
          <w:noProof w:val="0"/>
        </w:rPr>
      </w:pP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r w:rsidRPr="00B92D0F">
        <w:rPr>
          <w:rFonts w:ascii="Calibri" w:eastAsia="Times New Roman" w:hAnsi="Calibri" w:cs="Calibri"/>
          <w:noProof w:val="0"/>
          <w:color w:val="000000"/>
          <w:lang w:eastAsia="hr-HR"/>
        </w:rPr>
        <w:tab/>
      </w:r>
    </w:p>
    <w:p w14:paraId="518C6318" w14:textId="77777777" w:rsidR="00B92D0F" w:rsidRPr="00B92D0F" w:rsidRDefault="00B92D0F" w:rsidP="00B92D0F">
      <w:pPr>
        <w:jc w:val="both"/>
        <w:rPr>
          <w:rFonts w:eastAsia="Times New Roman" w:cs="Times New Roman"/>
          <w:noProof w:val="0"/>
        </w:rPr>
      </w:pPr>
    </w:p>
    <w:p w14:paraId="11C27AB8" w14:textId="68EA177B" w:rsidR="00B92D0F" w:rsidRPr="008C599C" w:rsidRDefault="00C9578C" w:rsidP="00B92D0F">
      <w:pPr>
        <w:rPr>
          <w:rFonts w:ascii="Times New Roman" w:hAnsi="Times New Roman" w:cs="Times New Roman"/>
          <w:sz w:val="24"/>
          <w:szCs w:val="24"/>
        </w:rPr>
      </w:pPr>
      <w:r w:rsidRPr="008C599C">
        <w:rPr>
          <w:rFonts w:ascii="Times New Roman" w:eastAsia="Times New Roman" w:hAnsi="Times New Roman" w:cs="Times New Roman"/>
          <w:noProof w:val="0"/>
          <w:sz w:val="24"/>
          <w:szCs w:val="24"/>
          <w:lang w:eastAsia="hr-HR"/>
        </w:rPr>
        <w:t xml:space="preserve">KLASA: </w:t>
      </w:r>
    </w:p>
    <w:p w14:paraId="6CEAA701" w14:textId="5732A29D" w:rsidR="00B92D0F" w:rsidRPr="008C599C" w:rsidRDefault="00C9578C" w:rsidP="00B92D0F">
      <w:pPr>
        <w:rPr>
          <w:rFonts w:ascii="Times New Roman" w:eastAsia="Times New Roman" w:hAnsi="Times New Roman" w:cs="Times New Roman"/>
          <w:noProof w:val="0"/>
          <w:sz w:val="24"/>
          <w:szCs w:val="24"/>
          <w:lang w:eastAsia="hr-HR"/>
        </w:rPr>
      </w:pPr>
      <w:r w:rsidRPr="008C599C">
        <w:rPr>
          <w:rFonts w:ascii="Times New Roman" w:eastAsia="Times New Roman" w:hAnsi="Times New Roman" w:cs="Times New Roman"/>
          <w:noProof w:val="0"/>
          <w:sz w:val="24"/>
          <w:szCs w:val="24"/>
          <w:lang w:eastAsia="hr-HR"/>
        </w:rPr>
        <w:t xml:space="preserve">URBROJ: </w:t>
      </w:r>
    </w:p>
    <w:p w14:paraId="0115BA1E" w14:textId="26BC10A3" w:rsidR="00B92D0F" w:rsidRPr="008C599C" w:rsidRDefault="00421BCF" w:rsidP="00B92D0F">
      <w:pPr>
        <w:rPr>
          <w:rFonts w:ascii="Times New Roman" w:eastAsia="Times New Roman" w:hAnsi="Times New Roman" w:cs="Times New Roman"/>
          <w:noProof w:val="0"/>
          <w:sz w:val="24"/>
          <w:szCs w:val="24"/>
          <w:lang w:eastAsia="hr-HR"/>
        </w:rPr>
      </w:pPr>
      <w:r w:rsidRPr="008C599C">
        <w:rPr>
          <w:rFonts w:ascii="Times New Roman" w:eastAsia="Times New Roman" w:hAnsi="Times New Roman" w:cs="Times New Roman"/>
          <w:noProof w:val="0"/>
          <w:sz w:val="24"/>
          <w:szCs w:val="24"/>
          <w:lang w:eastAsia="hr-HR"/>
        </w:rPr>
        <w:t>ČAZMA</w:t>
      </w:r>
      <w:r w:rsidR="00C9578C" w:rsidRPr="008C599C">
        <w:rPr>
          <w:rFonts w:ascii="Times New Roman" w:eastAsia="Times New Roman" w:hAnsi="Times New Roman" w:cs="Times New Roman"/>
          <w:noProof w:val="0"/>
          <w:sz w:val="24"/>
          <w:szCs w:val="24"/>
          <w:lang w:eastAsia="hr-HR"/>
        </w:rPr>
        <w:t xml:space="preserve">, </w:t>
      </w:r>
    </w:p>
    <w:p w14:paraId="0357DD5F" w14:textId="3E135E0E" w:rsidR="008A562A" w:rsidRPr="00092E82" w:rsidRDefault="00A60BD9">
      <w:pPr>
        <w:rPr>
          <w:rFonts w:ascii="Times New Roman" w:hAnsi="Times New Roman" w:cs="Times New Roman"/>
          <w:color w:val="EE0000"/>
          <w:sz w:val="24"/>
          <w:szCs w:val="24"/>
        </w:rPr>
      </w:pPr>
      <w:r w:rsidRPr="00092E82">
        <w:rPr>
          <w:rFonts w:ascii="Times New Roman" w:hAnsi="Times New Roman" w:cs="Times New Roman"/>
          <w:color w:val="EE0000"/>
          <w:sz w:val="24"/>
          <w:szCs w:val="24"/>
        </w:rPr>
        <w:t xml:space="preserve"> </w:t>
      </w:r>
    </w:p>
    <w:p w14:paraId="0029C954" w14:textId="77777777" w:rsidR="00A60BD9" w:rsidRDefault="00A60BD9">
      <w:pPr>
        <w:rPr>
          <w:rFonts w:ascii="Times New Roman" w:hAnsi="Times New Roman" w:cs="Times New Roman"/>
          <w:sz w:val="24"/>
          <w:szCs w:val="24"/>
        </w:rPr>
      </w:pPr>
    </w:p>
    <w:p w14:paraId="573CCC72" w14:textId="4E006F97" w:rsidR="00A60BD9" w:rsidRDefault="00A60BD9" w:rsidP="00A60BD9">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Na temelju članka 5. stavka 2. i članka 10. stavka 3. Zakona o financiranju političkih aktivnosti, izborne promidžbe i referenduma („Narodne novine“ broj 29/19 i 98/19) i članka 34. Statuta Grada Čazme („Službeni vjesnik“ broj 13/21, 39/25), Gradsko vijeće Grada Čazme na  </w:t>
      </w:r>
      <w:r w:rsidR="008C599C">
        <w:rPr>
          <w:rFonts w:ascii="Times New Roman" w:hAnsi="Times New Roman" w:cs="Times New Roman"/>
          <w:sz w:val="24"/>
          <w:szCs w:val="24"/>
        </w:rPr>
        <w:t xml:space="preserve">svojoj </w:t>
      </w:r>
      <w:r>
        <w:rPr>
          <w:rFonts w:ascii="Times New Roman" w:hAnsi="Times New Roman" w:cs="Times New Roman"/>
          <w:sz w:val="24"/>
          <w:szCs w:val="24"/>
        </w:rPr>
        <w:t>. sjednici  održanoj donosi</w:t>
      </w:r>
    </w:p>
    <w:p w14:paraId="527C228E"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O D L U K U</w:t>
      </w:r>
    </w:p>
    <w:p w14:paraId="7F468610" w14:textId="77777777" w:rsidR="00A60BD9" w:rsidRDefault="00A60BD9" w:rsidP="00A60BD9">
      <w:pPr>
        <w:spacing w:after="160" w:line="256" w:lineRule="auto"/>
        <w:jc w:val="center"/>
        <w:rPr>
          <w:rFonts w:ascii="Times New Roman" w:hAnsi="Times New Roman" w:cs="Times New Roman"/>
          <w:b/>
          <w:bCs/>
          <w:sz w:val="24"/>
          <w:szCs w:val="24"/>
        </w:rPr>
      </w:pPr>
      <w:bookmarkStart w:id="1" w:name="_Hlk200023672"/>
      <w:r>
        <w:rPr>
          <w:rFonts w:ascii="Times New Roman" w:hAnsi="Times New Roman" w:cs="Times New Roman"/>
          <w:b/>
          <w:bCs/>
          <w:sz w:val="24"/>
          <w:szCs w:val="24"/>
        </w:rPr>
        <w:t>o raspodjeli sredstava za redovito financiranje političkih stranaka i nezavisnih vijećnika</w:t>
      </w:r>
    </w:p>
    <w:p w14:paraId="4F9203E8" w14:textId="7B57F753"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u Gradskom vijeću Grada Čazme u 202</w:t>
      </w:r>
      <w:r w:rsidR="00092E82">
        <w:rPr>
          <w:rFonts w:ascii="Times New Roman" w:hAnsi="Times New Roman" w:cs="Times New Roman"/>
          <w:b/>
          <w:bCs/>
          <w:sz w:val="24"/>
          <w:szCs w:val="24"/>
        </w:rPr>
        <w:t>6</w:t>
      </w:r>
      <w:r>
        <w:rPr>
          <w:rFonts w:ascii="Times New Roman" w:hAnsi="Times New Roman" w:cs="Times New Roman"/>
          <w:b/>
          <w:bCs/>
          <w:sz w:val="24"/>
          <w:szCs w:val="24"/>
        </w:rPr>
        <w:t>. godini</w:t>
      </w:r>
    </w:p>
    <w:p w14:paraId="2FACAAEE" w14:textId="77777777" w:rsidR="00A60BD9" w:rsidRDefault="00A60BD9" w:rsidP="00A60BD9">
      <w:pPr>
        <w:spacing w:after="160" w:line="256" w:lineRule="auto"/>
        <w:jc w:val="center"/>
        <w:rPr>
          <w:rFonts w:ascii="Times New Roman" w:hAnsi="Times New Roman" w:cs="Times New Roman"/>
          <w:b/>
          <w:bCs/>
          <w:sz w:val="24"/>
          <w:szCs w:val="24"/>
        </w:rPr>
      </w:pPr>
    </w:p>
    <w:p w14:paraId="0E264986"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1.</w:t>
      </w:r>
    </w:p>
    <w:p w14:paraId="6DDF6415" w14:textId="4A2DCD5B" w:rsidR="00A60BD9" w:rsidRDefault="00A60BD9" w:rsidP="00A60BD9">
      <w:pPr>
        <w:spacing w:after="160" w:line="256" w:lineRule="auto"/>
        <w:ind w:firstLine="708"/>
        <w:jc w:val="both"/>
        <w:rPr>
          <w:rFonts w:ascii="Times New Roman" w:hAnsi="Times New Roman" w:cs="Times New Roman"/>
          <w:sz w:val="24"/>
          <w:szCs w:val="24"/>
        </w:rPr>
      </w:pPr>
      <w:bookmarkStart w:id="2" w:name="_Hlk32823120"/>
      <w:bookmarkEnd w:id="1"/>
      <w:r>
        <w:rPr>
          <w:rFonts w:ascii="Times New Roman" w:hAnsi="Times New Roman" w:cs="Times New Roman"/>
          <w:b/>
          <w:bCs/>
          <w:sz w:val="24"/>
          <w:szCs w:val="24"/>
        </w:rPr>
        <w:t xml:space="preserve"> </w:t>
      </w:r>
      <w:r>
        <w:rPr>
          <w:rFonts w:ascii="Times New Roman" w:hAnsi="Times New Roman" w:cs="Times New Roman"/>
          <w:sz w:val="24"/>
          <w:szCs w:val="24"/>
        </w:rPr>
        <w:t>Ovom se Odlukom uređuje način i uvjeti redovnog financiranja političkih stranaka i nezavisnih vijećnika Grada Čazme za 202</w:t>
      </w:r>
      <w:r w:rsidR="00092E82">
        <w:rPr>
          <w:rFonts w:ascii="Times New Roman" w:hAnsi="Times New Roman" w:cs="Times New Roman"/>
          <w:sz w:val="24"/>
          <w:szCs w:val="24"/>
        </w:rPr>
        <w:t>6</w:t>
      </w:r>
      <w:r>
        <w:rPr>
          <w:rFonts w:ascii="Times New Roman" w:hAnsi="Times New Roman" w:cs="Times New Roman"/>
          <w:sz w:val="24"/>
          <w:szCs w:val="24"/>
        </w:rPr>
        <w:t>. godinu.</w:t>
      </w:r>
    </w:p>
    <w:p w14:paraId="2E0F61A1"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2.</w:t>
      </w:r>
    </w:p>
    <w:p w14:paraId="1F213BD3" w14:textId="77777777" w:rsidR="00A60BD9" w:rsidRDefault="00A60BD9" w:rsidP="00A60BD9">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Pravo na financiranje iz sredstava Proračuna Grada Čazme imaju političke stranke odnosno kandidacijske liste koje su prema konačnim rezultatima izbora za vijećnike Gradskog vijeća ostvarile mandate za Gradsko vijeće Grada Čazme koje broji 13 vijećnika.</w:t>
      </w:r>
    </w:p>
    <w:p w14:paraId="5900DB6D"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3.</w:t>
      </w:r>
    </w:p>
    <w:p w14:paraId="10EED345" w14:textId="77777777" w:rsidR="00A60BD9" w:rsidRDefault="00A60BD9" w:rsidP="00A60BD9">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Sredstva za redovno financiranje političkih stranaka i nezavisnih vijećnika raspoređuju se na način da se utvrdi jednaki iznos sredstava za svakog člana u Gradskom vijeću Grada Čazme, tako da pojedinoj političkoj stranci pripadaju sredstva razmjerno broju članova u trenutku konstituiranja Gradskog vijeća.</w:t>
      </w:r>
    </w:p>
    <w:p w14:paraId="352BBC68" w14:textId="77777777" w:rsidR="00A60BD9" w:rsidRPr="00BB2CA7" w:rsidRDefault="00A60BD9" w:rsidP="00A60BD9">
      <w:pPr>
        <w:spacing w:after="160" w:line="256" w:lineRule="auto"/>
        <w:ind w:firstLine="708"/>
        <w:jc w:val="both"/>
        <w:rPr>
          <w:rFonts w:ascii="Times New Roman" w:hAnsi="Times New Roman" w:cs="Times New Roman"/>
          <w:sz w:val="24"/>
          <w:szCs w:val="24"/>
        </w:rPr>
      </w:pPr>
      <w:r w:rsidRPr="00BB2CA7">
        <w:rPr>
          <w:rFonts w:ascii="Times New Roman" w:hAnsi="Times New Roman" w:cs="Times New Roman"/>
          <w:sz w:val="24"/>
          <w:szCs w:val="24"/>
        </w:rPr>
        <w:t>Za svakog izabranog člana Gradskog vijeća Grada Čazme podzastupljenog spola, političkim strankama pripada i pravo na naknadu u visini od 10% iznosa predviđenog po svakom članu Gradskog vijeća Grada Čazme podzastupljenog spola.</w:t>
      </w:r>
    </w:p>
    <w:p w14:paraId="69E7C06A" w14:textId="77777777" w:rsidR="00A60BD9" w:rsidRPr="00BB2CA7" w:rsidRDefault="00A60BD9" w:rsidP="00A60BD9">
      <w:pPr>
        <w:spacing w:after="160" w:line="256" w:lineRule="auto"/>
        <w:ind w:firstLine="708"/>
        <w:jc w:val="both"/>
        <w:rPr>
          <w:rFonts w:ascii="Times New Roman" w:hAnsi="Times New Roman" w:cs="Times New Roman"/>
          <w:sz w:val="24"/>
          <w:szCs w:val="24"/>
        </w:rPr>
      </w:pPr>
      <w:r w:rsidRPr="00BB2CA7">
        <w:rPr>
          <w:rFonts w:ascii="Times New Roman" w:hAnsi="Times New Roman" w:cs="Times New Roman"/>
          <w:sz w:val="24"/>
          <w:szCs w:val="24"/>
        </w:rPr>
        <w:t xml:space="preserve">Podzastupljenost spola postoji, ako je zastupljenost jednog spola u Gradskom vijeću niža od 40%. </w:t>
      </w:r>
    </w:p>
    <w:p w14:paraId="7ACD8C27" w14:textId="77777777" w:rsidR="00A60BD9" w:rsidRPr="00BB2CA7" w:rsidRDefault="00A60BD9" w:rsidP="00A60BD9">
      <w:pPr>
        <w:spacing w:after="160" w:line="256" w:lineRule="auto"/>
        <w:ind w:firstLine="708"/>
        <w:jc w:val="both"/>
        <w:rPr>
          <w:rFonts w:ascii="Times New Roman" w:hAnsi="Times New Roman" w:cs="Times New Roman"/>
          <w:sz w:val="24"/>
          <w:szCs w:val="24"/>
        </w:rPr>
      </w:pPr>
    </w:p>
    <w:p w14:paraId="3A86B8B7" w14:textId="77777777" w:rsidR="00A60BD9" w:rsidRDefault="00A60BD9" w:rsidP="00A60BD9">
      <w:pPr>
        <w:spacing w:after="160" w:line="256" w:lineRule="auto"/>
        <w:ind w:firstLine="708"/>
        <w:jc w:val="both"/>
        <w:rPr>
          <w:rFonts w:ascii="Times New Roman" w:hAnsi="Times New Roman" w:cs="Times New Roman"/>
          <w:sz w:val="24"/>
          <w:szCs w:val="24"/>
        </w:rPr>
      </w:pPr>
    </w:p>
    <w:p w14:paraId="269A2BFF" w14:textId="77777777" w:rsidR="00A60BD9" w:rsidRDefault="00A60BD9" w:rsidP="00F80DBF">
      <w:pPr>
        <w:spacing w:after="160" w:line="256" w:lineRule="auto"/>
        <w:jc w:val="both"/>
        <w:rPr>
          <w:rFonts w:ascii="Times New Roman" w:hAnsi="Times New Roman" w:cs="Times New Roman"/>
          <w:sz w:val="24"/>
          <w:szCs w:val="24"/>
        </w:rPr>
      </w:pPr>
    </w:p>
    <w:p w14:paraId="03968F1C"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Članak 4.</w:t>
      </w:r>
    </w:p>
    <w:p w14:paraId="41FCE4DC" w14:textId="77777777" w:rsidR="00A60BD9" w:rsidRDefault="00A60BD9" w:rsidP="00A60BD9">
      <w:pPr>
        <w:spacing w:after="160" w:line="25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Za svakog člana Gradskog vijeća utvrđuje se mjesečni iznos od </w:t>
      </w:r>
      <w:r w:rsidRPr="00092E82">
        <w:rPr>
          <w:rFonts w:ascii="Times New Roman" w:hAnsi="Times New Roman" w:cs="Times New Roman"/>
          <w:sz w:val="24"/>
          <w:szCs w:val="24"/>
        </w:rPr>
        <w:t>23,00 EURA</w:t>
      </w:r>
      <w:r>
        <w:rPr>
          <w:rFonts w:ascii="Times New Roman" w:hAnsi="Times New Roman" w:cs="Times New Roman"/>
          <w:sz w:val="24"/>
          <w:szCs w:val="24"/>
        </w:rPr>
        <w:t xml:space="preserve"> mjesečno. </w:t>
      </w:r>
    </w:p>
    <w:p w14:paraId="1DE4B4E6" w14:textId="77777777" w:rsidR="00A60BD9" w:rsidRDefault="00A60BD9" w:rsidP="00A60BD9">
      <w:pPr>
        <w:spacing w:after="160" w:line="256" w:lineRule="auto"/>
        <w:ind w:firstLine="708"/>
        <w:jc w:val="both"/>
        <w:rPr>
          <w:rFonts w:ascii="Times New Roman" w:hAnsi="Times New Roman" w:cs="Times New Roman"/>
          <w:sz w:val="24"/>
          <w:szCs w:val="24"/>
        </w:rPr>
      </w:pPr>
    </w:p>
    <w:bookmarkEnd w:id="2"/>
    <w:p w14:paraId="69FCA163"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5.</w:t>
      </w:r>
    </w:p>
    <w:p w14:paraId="1BC837E5" w14:textId="77777777" w:rsidR="00A60BD9" w:rsidRDefault="00A60BD9" w:rsidP="00A60BD9">
      <w:pPr>
        <w:spacing w:after="160" w:line="256" w:lineRule="auto"/>
        <w:ind w:firstLine="360"/>
        <w:jc w:val="both"/>
        <w:rPr>
          <w:rFonts w:ascii="Times New Roman" w:hAnsi="Times New Roman" w:cs="Times New Roman"/>
          <w:sz w:val="24"/>
          <w:szCs w:val="24"/>
        </w:rPr>
      </w:pPr>
      <w:r>
        <w:rPr>
          <w:rFonts w:ascii="Times New Roman" w:hAnsi="Times New Roman" w:cs="Times New Roman"/>
          <w:sz w:val="24"/>
          <w:szCs w:val="24"/>
        </w:rPr>
        <w:t>S obzirom na broj članova u Gradskom vijeću Grada Čazme, političkim strankama i nezavisnim vijećnicima pripadaju sredstva u slijedećim iznosima:</w:t>
      </w:r>
    </w:p>
    <w:p w14:paraId="6B15195E"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Nedeljki Baćani – 23,00 EURA mjesečno</w:t>
      </w:r>
    </w:p>
    <w:p w14:paraId="237B0870"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Danijeli Kezele – 23,00 EURA mjesečno</w:t>
      </w:r>
    </w:p>
    <w:p w14:paraId="41FF69B5"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Nezavisnom vijećniku Marijanu Habijančiću – 23,00 EURA mjesečno</w:t>
      </w:r>
    </w:p>
    <w:p w14:paraId="21FDCFC3" w14:textId="77777777" w:rsidR="00A60BD9" w:rsidRPr="00330C4F" w:rsidRDefault="00A60BD9" w:rsidP="00A60BD9">
      <w:pPr>
        <w:pStyle w:val="ListParagraph"/>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HRVATSKA SOCIJALNO - LIBERALNA STRANKA - HSLS</w:t>
      </w:r>
    </w:p>
    <w:p w14:paraId="21182F81" w14:textId="77777777" w:rsidR="00A60BD9" w:rsidRDefault="00A60BD9" w:rsidP="00A60BD9">
      <w:pPr>
        <w:pStyle w:val="ListParagraph"/>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HRVATSKA SELJAČKA STRANKA </w:t>
      </w:r>
      <w:r>
        <w:rPr>
          <w:rFonts w:ascii="Times New Roman" w:hAnsi="Times New Roman" w:cs="Times New Roman"/>
          <w:sz w:val="24"/>
          <w:szCs w:val="24"/>
        </w:rPr>
        <w:t>–</w:t>
      </w:r>
      <w:r w:rsidRPr="00330C4F">
        <w:rPr>
          <w:rFonts w:ascii="Times New Roman" w:hAnsi="Times New Roman" w:cs="Times New Roman"/>
          <w:sz w:val="24"/>
          <w:szCs w:val="24"/>
        </w:rPr>
        <w:t xml:space="preserve"> HSS</w:t>
      </w:r>
      <w:r>
        <w:rPr>
          <w:rFonts w:ascii="Times New Roman" w:hAnsi="Times New Roman" w:cs="Times New Roman"/>
          <w:sz w:val="24"/>
          <w:szCs w:val="24"/>
        </w:rPr>
        <w:t xml:space="preserve"> </w:t>
      </w:r>
    </w:p>
    <w:p w14:paraId="37E31C2A" w14:textId="77777777" w:rsidR="00A60BD9" w:rsidRDefault="00A60BD9" w:rsidP="00A60BD9">
      <w:pPr>
        <w:pStyle w:val="ListParagraph"/>
        <w:numPr>
          <w:ilvl w:val="0"/>
          <w:numId w:val="3"/>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Naknada za 3 vijećnika – 69,00 EURA mjesečno</w:t>
      </w:r>
    </w:p>
    <w:p w14:paraId="1EBC48DB"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HRVATSKA DEMOKRATSKA ZAJEDNICA </w:t>
      </w:r>
      <w:r>
        <w:rPr>
          <w:rFonts w:ascii="Times New Roman" w:hAnsi="Times New Roman" w:cs="Times New Roman"/>
          <w:sz w:val="24"/>
          <w:szCs w:val="24"/>
        </w:rPr>
        <w:t>–</w:t>
      </w:r>
      <w:r w:rsidRPr="00330C4F">
        <w:rPr>
          <w:rFonts w:ascii="Times New Roman" w:hAnsi="Times New Roman" w:cs="Times New Roman"/>
          <w:sz w:val="24"/>
          <w:szCs w:val="24"/>
        </w:rPr>
        <w:t xml:space="preserve"> HDZ</w:t>
      </w:r>
    </w:p>
    <w:p w14:paraId="3843CBFB" w14:textId="526C823C" w:rsidR="00A60BD9" w:rsidRPr="00330C4F" w:rsidRDefault="00A60BD9" w:rsidP="00A60BD9">
      <w:pPr>
        <w:pStyle w:val="ListParagraph"/>
        <w:numPr>
          <w:ilvl w:val="0"/>
          <w:numId w:val="3"/>
        </w:numPr>
        <w:rPr>
          <w:rFonts w:ascii="Times New Roman" w:hAnsi="Times New Roman" w:cs="Times New Roman"/>
          <w:sz w:val="24"/>
          <w:szCs w:val="24"/>
        </w:rPr>
      </w:pPr>
      <w:r w:rsidRPr="00330C4F">
        <w:rPr>
          <w:rFonts w:ascii="Times New Roman" w:hAnsi="Times New Roman" w:cs="Times New Roman"/>
          <w:sz w:val="24"/>
          <w:szCs w:val="24"/>
        </w:rPr>
        <w:t xml:space="preserve">Naknada za </w:t>
      </w:r>
      <w:r w:rsidR="00092E82">
        <w:rPr>
          <w:rFonts w:ascii="Times New Roman" w:hAnsi="Times New Roman" w:cs="Times New Roman"/>
          <w:sz w:val="24"/>
          <w:szCs w:val="24"/>
        </w:rPr>
        <w:t>3</w:t>
      </w:r>
      <w:r w:rsidRPr="00330C4F">
        <w:rPr>
          <w:rFonts w:ascii="Times New Roman" w:hAnsi="Times New Roman" w:cs="Times New Roman"/>
          <w:sz w:val="24"/>
          <w:szCs w:val="24"/>
        </w:rPr>
        <w:t xml:space="preserve"> vije</w:t>
      </w:r>
      <w:r>
        <w:rPr>
          <w:rFonts w:ascii="Times New Roman" w:hAnsi="Times New Roman" w:cs="Times New Roman"/>
          <w:sz w:val="24"/>
          <w:szCs w:val="24"/>
        </w:rPr>
        <w:t>ć</w:t>
      </w:r>
      <w:r w:rsidRPr="00330C4F">
        <w:rPr>
          <w:rFonts w:ascii="Times New Roman" w:hAnsi="Times New Roman" w:cs="Times New Roman"/>
          <w:sz w:val="24"/>
          <w:szCs w:val="24"/>
        </w:rPr>
        <w:t xml:space="preserve">nika – </w:t>
      </w:r>
      <w:r w:rsidR="00092E82">
        <w:rPr>
          <w:rFonts w:ascii="Times New Roman" w:hAnsi="Times New Roman" w:cs="Times New Roman"/>
          <w:sz w:val="24"/>
          <w:szCs w:val="24"/>
        </w:rPr>
        <w:t>69</w:t>
      </w:r>
      <w:r w:rsidRPr="00330C4F">
        <w:rPr>
          <w:rFonts w:ascii="Times New Roman" w:hAnsi="Times New Roman" w:cs="Times New Roman"/>
          <w:sz w:val="24"/>
          <w:szCs w:val="24"/>
        </w:rPr>
        <w:t>,00 EURA mjesečno</w:t>
      </w:r>
    </w:p>
    <w:p w14:paraId="1BF52E88"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Nezavisnoj vijećnici Ivani Popilovski – 23,00 EURA mjesečno</w:t>
      </w:r>
    </w:p>
    <w:p w14:paraId="2806E2C9"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Pr>
          <w:rFonts w:ascii="Times New Roman" w:hAnsi="Times New Roman" w:cs="Times New Roman"/>
          <w:sz w:val="24"/>
          <w:szCs w:val="24"/>
        </w:rPr>
        <w:t>Nezavisnom vijećniku Žarku Jančiću – 23,00 EURA mjesečno</w:t>
      </w:r>
    </w:p>
    <w:p w14:paraId="2B370885" w14:textId="77777777" w:rsidR="00A60BD9" w:rsidRPr="00330C4F" w:rsidRDefault="00A60BD9" w:rsidP="00A60BD9">
      <w:pPr>
        <w:pStyle w:val="ListParagraph"/>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SOCIJALDEMOKRATSKA PARTIJA HRVATSKE - SDP</w:t>
      </w:r>
    </w:p>
    <w:p w14:paraId="794EA570" w14:textId="77777777" w:rsidR="00A60BD9" w:rsidRPr="00330C4F" w:rsidRDefault="00A60BD9" w:rsidP="00A60BD9">
      <w:pPr>
        <w:pStyle w:val="ListParagraph"/>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GRAĐANSKO-LIBERALNI SAVEZ - GLAS</w:t>
      </w:r>
    </w:p>
    <w:p w14:paraId="592DB2B2" w14:textId="77777777" w:rsidR="00A60BD9" w:rsidRDefault="00A60BD9" w:rsidP="00A60BD9">
      <w:pPr>
        <w:pStyle w:val="ListParagraph"/>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STRANKA UMIROVLJENIKA </w:t>
      </w:r>
      <w:r>
        <w:rPr>
          <w:rFonts w:ascii="Times New Roman" w:hAnsi="Times New Roman" w:cs="Times New Roman"/>
          <w:sz w:val="24"/>
          <w:szCs w:val="24"/>
        </w:rPr>
        <w:t>–</w:t>
      </w:r>
      <w:r w:rsidRPr="00330C4F">
        <w:rPr>
          <w:rFonts w:ascii="Times New Roman" w:hAnsi="Times New Roman" w:cs="Times New Roman"/>
          <w:sz w:val="24"/>
          <w:szCs w:val="24"/>
        </w:rPr>
        <w:t xml:space="preserve"> SU</w:t>
      </w:r>
    </w:p>
    <w:p w14:paraId="492D3DFD" w14:textId="77777777" w:rsidR="00A60BD9" w:rsidRPr="00330C4F" w:rsidRDefault="00A60BD9" w:rsidP="00A60BD9">
      <w:pPr>
        <w:pStyle w:val="ListParagraph"/>
        <w:numPr>
          <w:ilvl w:val="0"/>
          <w:numId w:val="3"/>
        </w:numPr>
        <w:rPr>
          <w:rFonts w:ascii="Times New Roman" w:hAnsi="Times New Roman" w:cs="Times New Roman"/>
          <w:sz w:val="24"/>
          <w:szCs w:val="24"/>
        </w:rPr>
      </w:pPr>
      <w:r w:rsidRPr="00330C4F">
        <w:rPr>
          <w:rFonts w:ascii="Times New Roman" w:hAnsi="Times New Roman" w:cs="Times New Roman"/>
          <w:sz w:val="24"/>
          <w:szCs w:val="24"/>
        </w:rPr>
        <w:t xml:space="preserve">Naknada za </w:t>
      </w:r>
      <w:r>
        <w:rPr>
          <w:rFonts w:ascii="Times New Roman" w:hAnsi="Times New Roman" w:cs="Times New Roman"/>
          <w:sz w:val="24"/>
          <w:szCs w:val="24"/>
        </w:rPr>
        <w:t>1</w:t>
      </w:r>
      <w:r w:rsidRPr="00330C4F">
        <w:rPr>
          <w:rFonts w:ascii="Times New Roman" w:hAnsi="Times New Roman" w:cs="Times New Roman"/>
          <w:sz w:val="24"/>
          <w:szCs w:val="24"/>
        </w:rPr>
        <w:t xml:space="preserve"> vijećnika – </w:t>
      </w:r>
      <w:r>
        <w:rPr>
          <w:rFonts w:ascii="Times New Roman" w:hAnsi="Times New Roman" w:cs="Times New Roman"/>
          <w:sz w:val="24"/>
          <w:szCs w:val="24"/>
        </w:rPr>
        <w:t>23</w:t>
      </w:r>
      <w:r w:rsidRPr="00330C4F">
        <w:rPr>
          <w:rFonts w:ascii="Times New Roman" w:hAnsi="Times New Roman" w:cs="Times New Roman"/>
          <w:sz w:val="24"/>
          <w:szCs w:val="24"/>
        </w:rPr>
        <w:t>,00 EURA mjesečno</w:t>
      </w:r>
    </w:p>
    <w:p w14:paraId="67AFFF41" w14:textId="77777777" w:rsidR="00A60BD9" w:rsidRDefault="00A60BD9" w:rsidP="00A60BD9">
      <w:pPr>
        <w:pStyle w:val="ListParagraph"/>
        <w:numPr>
          <w:ilvl w:val="0"/>
          <w:numId w:val="2"/>
        </w:numPr>
        <w:spacing w:after="160" w:line="256" w:lineRule="auto"/>
        <w:jc w:val="both"/>
        <w:rPr>
          <w:rFonts w:ascii="Times New Roman" w:hAnsi="Times New Roman" w:cs="Times New Roman"/>
          <w:sz w:val="24"/>
          <w:szCs w:val="24"/>
        </w:rPr>
      </w:pPr>
      <w:r w:rsidRPr="00330C4F">
        <w:rPr>
          <w:rFonts w:ascii="Times New Roman" w:hAnsi="Times New Roman" w:cs="Times New Roman"/>
          <w:sz w:val="24"/>
          <w:szCs w:val="24"/>
        </w:rPr>
        <w:t xml:space="preserve">DOM I NACIONALNO OKUPLJANJE </w:t>
      </w:r>
      <w:r>
        <w:rPr>
          <w:rFonts w:ascii="Times New Roman" w:hAnsi="Times New Roman" w:cs="Times New Roman"/>
          <w:sz w:val="24"/>
          <w:szCs w:val="24"/>
        </w:rPr>
        <w:t>–</w:t>
      </w:r>
      <w:r w:rsidRPr="00330C4F">
        <w:rPr>
          <w:rFonts w:ascii="Times New Roman" w:hAnsi="Times New Roman" w:cs="Times New Roman"/>
          <w:sz w:val="24"/>
          <w:szCs w:val="24"/>
        </w:rPr>
        <w:t xml:space="preserve"> DOMINO</w:t>
      </w:r>
    </w:p>
    <w:p w14:paraId="65E0537A" w14:textId="77777777" w:rsidR="00A60BD9" w:rsidRPr="00330C4F" w:rsidRDefault="00A60BD9" w:rsidP="00A60BD9">
      <w:pPr>
        <w:pStyle w:val="ListParagraph"/>
        <w:numPr>
          <w:ilvl w:val="0"/>
          <w:numId w:val="3"/>
        </w:numPr>
        <w:rPr>
          <w:rFonts w:ascii="Times New Roman" w:hAnsi="Times New Roman" w:cs="Times New Roman"/>
          <w:sz w:val="24"/>
          <w:szCs w:val="24"/>
        </w:rPr>
      </w:pPr>
      <w:r w:rsidRPr="00330C4F">
        <w:rPr>
          <w:rFonts w:ascii="Times New Roman" w:hAnsi="Times New Roman" w:cs="Times New Roman"/>
          <w:sz w:val="24"/>
          <w:szCs w:val="24"/>
        </w:rPr>
        <w:t>Naknada za 1 vijećnika – 23,00 EURA mjesečno</w:t>
      </w:r>
    </w:p>
    <w:p w14:paraId="69EF5A9E" w14:textId="77777777" w:rsidR="00A60BD9" w:rsidRDefault="00A60BD9" w:rsidP="00A60BD9">
      <w:pPr>
        <w:spacing w:line="256" w:lineRule="auto"/>
        <w:contextualSpacing/>
        <w:jc w:val="both"/>
        <w:rPr>
          <w:rFonts w:ascii="Times New Roman" w:hAnsi="Times New Roman" w:cs="Times New Roman"/>
          <w:sz w:val="24"/>
          <w:szCs w:val="24"/>
        </w:rPr>
      </w:pPr>
      <w:bookmarkStart w:id="3" w:name="_Hlk32825324"/>
    </w:p>
    <w:p w14:paraId="1E743D70" w14:textId="77777777" w:rsidR="00A60BD9" w:rsidRDefault="00A60BD9" w:rsidP="00A60BD9">
      <w:pPr>
        <w:spacing w:line="256" w:lineRule="auto"/>
        <w:contextualSpacing/>
        <w:jc w:val="both"/>
        <w:rPr>
          <w:rFonts w:ascii="Times New Roman" w:hAnsi="Times New Roman" w:cs="Times New Roman"/>
          <w:sz w:val="24"/>
          <w:szCs w:val="24"/>
        </w:rPr>
      </w:pPr>
    </w:p>
    <w:bookmarkEnd w:id="3"/>
    <w:p w14:paraId="6C65A396"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6.</w:t>
      </w:r>
    </w:p>
    <w:p w14:paraId="1241B0A6" w14:textId="77777777" w:rsidR="00A60BD9" w:rsidRDefault="00A60BD9" w:rsidP="00A60BD9">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ab/>
        <w:t xml:space="preserve">Raspoređena sredstva doznačuju se na žiro račun političke stranke odnosno na poseban račun nezavisnog vijećnika, tromjesečno u jednakim iznosima. </w:t>
      </w:r>
    </w:p>
    <w:p w14:paraId="7D228D38" w14:textId="77777777" w:rsidR="00A60BD9" w:rsidRDefault="00A60BD9" w:rsidP="00A60BD9">
      <w:pPr>
        <w:spacing w:after="160" w:line="256" w:lineRule="auto"/>
        <w:jc w:val="both"/>
        <w:rPr>
          <w:rFonts w:ascii="Times New Roman" w:hAnsi="Times New Roman" w:cs="Times New Roman"/>
          <w:sz w:val="24"/>
          <w:szCs w:val="24"/>
        </w:rPr>
      </w:pPr>
    </w:p>
    <w:p w14:paraId="31909109" w14:textId="77777777" w:rsidR="00A60BD9" w:rsidRPr="00084972"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Članak 7. </w:t>
      </w:r>
    </w:p>
    <w:p w14:paraId="1218CB22" w14:textId="7DA2D37D" w:rsidR="00A60BD9" w:rsidRDefault="00A60BD9" w:rsidP="00A60BD9">
      <w:pPr>
        <w:spacing w:after="160" w:line="256"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Pr="004A40D1">
        <w:rPr>
          <w:rFonts w:ascii="Times New Roman" w:hAnsi="Times New Roman" w:cs="Times New Roman"/>
          <w:sz w:val="24"/>
          <w:szCs w:val="24"/>
        </w:rPr>
        <w:t xml:space="preserve">Stupanjem na snagu ove Odluke prestaje važiti Odluka o </w:t>
      </w:r>
      <w:r>
        <w:rPr>
          <w:rFonts w:ascii="Times New Roman" w:hAnsi="Times New Roman" w:cs="Times New Roman"/>
          <w:sz w:val="24"/>
          <w:szCs w:val="24"/>
        </w:rPr>
        <w:t xml:space="preserve"> raspodjeli sredstava za redovito financiranje političkih stranaka i nezavisnih vijećnika u Gradskom vijeću Grada Čazme u 2025. godini („Službeni vjesnik“ </w:t>
      </w:r>
      <w:r w:rsidR="00092E82">
        <w:rPr>
          <w:rFonts w:ascii="Times New Roman" w:hAnsi="Times New Roman" w:cs="Times New Roman"/>
          <w:sz w:val="24"/>
          <w:szCs w:val="24"/>
        </w:rPr>
        <w:t>43</w:t>
      </w:r>
      <w:r>
        <w:rPr>
          <w:rFonts w:ascii="Times New Roman" w:hAnsi="Times New Roman" w:cs="Times New Roman"/>
          <w:sz w:val="24"/>
          <w:szCs w:val="24"/>
        </w:rPr>
        <w:t xml:space="preserve">/25). </w:t>
      </w:r>
    </w:p>
    <w:p w14:paraId="5C35880E" w14:textId="77777777" w:rsidR="00A60BD9" w:rsidRPr="00084972" w:rsidRDefault="00A60BD9" w:rsidP="00A60BD9">
      <w:pPr>
        <w:spacing w:after="160" w:line="256" w:lineRule="auto"/>
        <w:jc w:val="both"/>
        <w:rPr>
          <w:rFonts w:ascii="Times New Roman" w:hAnsi="Times New Roman" w:cs="Times New Roman"/>
          <w:sz w:val="24"/>
          <w:szCs w:val="24"/>
        </w:rPr>
      </w:pPr>
    </w:p>
    <w:p w14:paraId="0CB15D7A" w14:textId="77777777" w:rsidR="00A60BD9"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Članak 8.</w:t>
      </w:r>
    </w:p>
    <w:p w14:paraId="0B5BC360" w14:textId="77777777" w:rsidR="00A60BD9" w:rsidRDefault="00A60BD9" w:rsidP="00A60BD9">
      <w:pPr>
        <w:spacing w:after="160" w:line="256" w:lineRule="auto"/>
        <w:ind w:firstLine="708"/>
        <w:rPr>
          <w:rFonts w:ascii="Times New Roman" w:hAnsi="Times New Roman" w:cs="Times New Roman"/>
          <w:sz w:val="24"/>
          <w:szCs w:val="24"/>
        </w:rPr>
      </w:pPr>
      <w:r>
        <w:rPr>
          <w:rFonts w:ascii="Times New Roman" w:hAnsi="Times New Roman" w:cs="Times New Roman"/>
          <w:sz w:val="24"/>
          <w:szCs w:val="24"/>
        </w:rPr>
        <w:t>Ova Odluka  stupa na snagu osmog dana od dana objave u „Službenom vjesniku“.</w:t>
      </w:r>
    </w:p>
    <w:p w14:paraId="2226D120" w14:textId="102B416D" w:rsidR="00A60BD9" w:rsidRDefault="00A60BD9" w:rsidP="00F80DBF">
      <w:pPr>
        <w:spacing w:after="160" w:line="256" w:lineRule="auto"/>
        <w:rPr>
          <w:rFonts w:ascii="Times New Roman" w:hAnsi="Times New Roman" w:cs="Times New Roman"/>
          <w:sz w:val="24"/>
          <w:szCs w:val="24"/>
        </w:rPr>
      </w:pPr>
      <w:r>
        <w:rPr>
          <w:rFonts w:ascii="Times New Roman" w:hAnsi="Times New Roman" w:cs="Times New Roman"/>
          <w:b/>
          <w:bCs/>
          <w:sz w:val="24"/>
          <w:szCs w:val="24"/>
        </w:rPr>
        <w:t xml:space="preserve"> </w:t>
      </w:r>
    </w:p>
    <w:p w14:paraId="46317FBB" w14:textId="77777777" w:rsidR="00A60BD9" w:rsidRDefault="00A60BD9" w:rsidP="00A60BD9">
      <w:pPr>
        <w:tabs>
          <w:tab w:val="left" w:pos="708"/>
          <w:tab w:val="center" w:pos="4536"/>
          <w:tab w:val="right" w:pos="9072"/>
        </w:tabs>
        <w:ind w:left="4536" w:right="-199"/>
        <w:jc w:val="both"/>
        <w:rPr>
          <w:rFonts w:ascii="Times New Roman" w:eastAsia="Times New Roman" w:hAnsi="Times New Roman" w:cs="Times New Roman"/>
          <w:b/>
          <w:sz w:val="24"/>
          <w:szCs w:val="24"/>
          <w:lang w:eastAsia="hr-HR"/>
        </w:rPr>
      </w:pPr>
      <w:r>
        <w:rPr>
          <w:rFonts w:ascii="Times New Roman" w:eastAsia="Times New Roman" w:hAnsi="Times New Roman" w:cs="Times New Roman"/>
          <w:b/>
          <w:sz w:val="24"/>
          <w:szCs w:val="24"/>
          <w:lang w:eastAsia="hr-HR"/>
        </w:rPr>
        <w:t>PREDSJEDNIK GRADSKOG VIJEĆA</w:t>
      </w:r>
    </w:p>
    <w:p w14:paraId="73FE113B" w14:textId="77777777" w:rsidR="00A60BD9" w:rsidRDefault="00A60BD9" w:rsidP="00A60BD9">
      <w:pPr>
        <w:tabs>
          <w:tab w:val="left" w:pos="708"/>
          <w:tab w:val="center" w:pos="4536"/>
          <w:tab w:val="right" w:pos="9072"/>
        </w:tabs>
        <w:ind w:right="-199"/>
        <w:jc w:val="both"/>
        <w:rPr>
          <w:rFonts w:ascii="Times New Roman" w:eastAsia="Times New Roman" w:hAnsi="Times New Roman" w:cs="Times New Roman"/>
          <w:b/>
          <w:sz w:val="24"/>
          <w:szCs w:val="24"/>
          <w:lang w:eastAsia="hr-HR"/>
        </w:rPr>
      </w:pPr>
    </w:p>
    <w:p w14:paraId="74E7FEA4" w14:textId="77777777" w:rsidR="00A60BD9" w:rsidRDefault="00A60BD9" w:rsidP="00A60BD9">
      <w:pPr>
        <w:tabs>
          <w:tab w:val="left" w:pos="708"/>
          <w:tab w:val="center" w:pos="4536"/>
          <w:tab w:val="right" w:pos="9072"/>
        </w:tabs>
        <w:ind w:right="-199"/>
        <w:jc w:val="both"/>
        <w:rPr>
          <w:rFonts w:ascii="Times New Roman" w:eastAsia="Times New Roman" w:hAnsi="Times New Roman" w:cs="Times New Roman"/>
          <w:b/>
          <w:bCs/>
          <w:sz w:val="24"/>
          <w:szCs w:val="24"/>
          <w:lang w:eastAsia="hr-HR"/>
        </w:rPr>
      </w:pPr>
      <w:r>
        <w:rPr>
          <w:rFonts w:ascii="Times New Roman" w:eastAsia="Times New Roman" w:hAnsi="Times New Roman" w:cs="Times New Roman"/>
          <w:sz w:val="24"/>
          <w:szCs w:val="24"/>
          <w:lang w:eastAsia="hr-HR"/>
        </w:rPr>
        <w:tab/>
      </w:r>
      <w:r>
        <w:rPr>
          <w:rFonts w:ascii="Times New Roman" w:eastAsia="Times New Roman" w:hAnsi="Times New Roman" w:cs="Times New Roman"/>
          <w:sz w:val="24"/>
          <w:szCs w:val="24"/>
          <w:lang w:eastAsia="hr-HR"/>
        </w:rPr>
        <w:tab/>
      </w:r>
      <w:r>
        <w:rPr>
          <w:rFonts w:ascii="Times New Roman" w:eastAsia="Times New Roman" w:hAnsi="Times New Roman" w:cs="Times New Roman"/>
          <w:b/>
          <w:sz w:val="24"/>
          <w:szCs w:val="24"/>
          <w:lang w:eastAsia="hr-HR"/>
        </w:rPr>
        <w:t xml:space="preserve">                                                                    Igor Grčić</w:t>
      </w:r>
    </w:p>
    <w:p w14:paraId="0320BD50" w14:textId="77777777" w:rsidR="00A60BD9" w:rsidRDefault="00A60BD9" w:rsidP="00A60BD9">
      <w:pPr>
        <w:jc w:val="both"/>
        <w:rPr>
          <w:rFonts w:ascii="Times New Roman" w:hAnsi="Times New Roman" w:cs="Times New Roman"/>
          <w:sz w:val="24"/>
          <w:szCs w:val="24"/>
        </w:rPr>
      </w:pPr>
    </w:p>
    <w:p w14:paraId="1A0B508D" w14:textId="77777777" w:rsidR="00A60BD9" w:rsidRPr="0064508D" w:rsidRDefault="00A60BD9" w:rsidP="00A60BD9">
      <w:pPr>
        <w:spacing w:after="160" w:line="256"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
    <w:p w14:paraId="4B30081A" w14:textId="77777777" w:rsidR="00A60BD9" w:rsidRDefault="00A60BD9">
      <w:pPr>
        <w:rPr>
          <w:b/>
        </w:rPr>
      </w:pPr>
    </w:p>
    <w:p w14:paraId="2995885A" w14:textId="77777777" w:rsidR="00515FFC" w:rsidRDefault="00515FFC">
      <w:pPr>
        <w:rPr>
          <w:b/>
        </w:rPr>
      </w:pPr>
    </w:p>
    <w:p w14:paraId="48766C1D" w14:textId="77777777" w:rsidR="00515FFC" w:rsidRPr="007F6BC3" w:rsidRDefault="00515FFC" w:rsidP="00515FFC">
      <w:pPr>
        <w:spacing w:line="259" w:lineRule="auto"/>
        <w:jc w:val="center"/>
        <w:rPr>
          <w:rFonts w:ascii="Times New Roman" w:hAnsi="Times New Roman" w:cs="Times New Roman"/>
          <w:b/>
          <w:bCs/>
        </w:rPr>
      </w:pPr>
      <w:r w:rsidRPr="007F6BC3">
        <w:rPr>
          <w:rFonts w:ascii="Times New Roman" w:hAnsi="Times New Roman" w:cs="Times New Roman"/>
          <w:b/>
          <w:bCs/>
        </w:rPr>
        <w:lastRenderedPageBreak/>
        <w:t>OBRAZLOŽENJE</w:t>
      </w:r>
    </w:p>
    <w:p w14:paraId="021E70DA" w14:textId="77777777" w:rsidR="00515FFC" w:rsidRPr="007F6BC3" w:rsidRDefault="00515FFC" w:rsidP="00515FFC">
      <w:pPr>
        <w:jc w:val="both"/>
        <w:rPr>
          <w:rFonts w:ascii="Times New Roman" w:hAnsi="Times New Roman" w:cs="Times New Roman"/>
          <w:b/>
          <w:bCs/>
        </w:rPr>
      </w:pPr>
    </w:p>
    <w:p w14:paraId="64DC0647" w14:textId="77777777" w:rsidR="00515FFC" w:rsidRPr="007F6BC3" w:rsidRDefault="00515FFC" w:rsidP="00515FFC">
      <w:pPr>
        <w:spacing w:line="259" w:lineRule="auto"/>
        <w:jc w:val="both"/>
        <w:rPr>
          <w:rFonts w:ascii="Times New Roman" w:hAnsi="Times New Roman" w:cs="Times New Roman"/>
        </w:rPr>
      </w:pPr>
    </w:p>
    <w:p w14:paraId="67E9BCA4" w14:textId="77777777" w:rsidR="00515FFC" w:rsidRPr="007F6BC3" w:rsidRDefault="00515FFC" w:rsidP="00515FFC">
      <w:pPr>
        <w:spacing w:line="276" w:lineRule="auto"/>
        <w:jc w:val="both"/>
        <w:rPr>
          <w:rFonts w:ascii="Times New Roman" w:hAnsi="Times New Roman" w:cs="Times New Roman"/>
          <w:b/>
          <w:bCs/>
        </w:rPr>
      </w:pPr>
      <w:r w:rsidRPr="007F6BC3">
        <w:rPr>
          <w:rFonts w:ascii="Times New Roman" w:hAnsi="Times New Roman" w:cs="Times New Roman"/>
          <w:b/>
          <w:bCs/>
        </w:rPr>
        <w:t>Pravni temelj</w:t>
      </w:r>
    </w:p>
    <w:p w14:paraId="271F2260" w14:textId="77777777" w:rsidR="00515FFC" w:rsidRDefault="00515FFC" w:rsidP="00515FFC">
      <w:pPr>
        <w:spacing w:line="276" w:lineRule="auto"/>
        <w:jc w:val="both"/>
        <w:rPr>
          <w:rFonts w:ascii="Times New Roman" w:eastAsia="Calibri" w:hAnsi="Times New Roman" w:cs="Times New Roman"/>
        </w:rPr>
      </w:pPr>
    </w:p>
    <w:p w14:paraId="0B42588D" w14:textId="4CA7FEEA" w:rsidR="00515FFC" w:rsidRDefault="00515FFC" w:rsidP="00515FFC">
      <w:pPr>
        <w:spacing w:line="276" w:lineRule="auto"/>
        <w:jc w:val="both"/>
        <w:rPr>
          <w:rFonts w:ascii="Times New Roman" w:hAnsi="Times New Roman" w:cs="Times New Roman"/>
          <w:sz w:val="24"/>
          <w:szCs w:val="24"/>
        </w:rPr>
      </w:pPr>
      <w:r>
        <w:rPr>
          <w:rFonts w:ascii="Times New Roman" w:hAnsi="Times New Roman" w:cs="Times New Roman"/>
          <w:sz w:val="24"/>
          <w:szCs w:val="24"/>
        </w:rPr>
        <w:t>Na temelju članka 5. stavka 2. i članka 10. stavka 3. Zakona o financiranju političkih aktivnosti, izborne promidžbe i referenduma („Narodne novine“ broj 29/19 i 98/19 – dalje: ZFPA) i članka 34. Statuta Grada Čazme („Službeni vjesnik“ broj 13/21, 39/25).</w:t>
      </w:r>
    </w:p>
    <w:p w14:paraId="1FC13D21" w14:textId="77777777" w:rsidR="00515FFC" w:rsidRDefault="00515FFC" w:rsidP="00515FFC">
      <w:pPr>
        <w:spacing w:line="276" w:lineRule="auto"/>
        <w:jc w:val="both"/>
        <w:rPr>
          <w:rFonts w:ascii="Times New Roman" w:hAnsi="Times New Roman" w:cs="Times New Roman"/>
          <w:sz w:val="24"/>
          <w:szCs w:val="24"/>
        </w:rPr>
      </w:pPr>
    </w:p>
    <w:p w14:paraId="6CD8F356" w14:textId="09BD37EE" w:rsidR="00515FFC" w:rsidRDefault="00515FFC" w:rsidP="00515FFC">
      <w:pPr>
        <w:spacing w:line="276" w:lineRule="auto"/>
        <w:jc w:val="both"/>
        <w:rPr>
          <w:rFonts w:ascii="Times New Roman" w:hAnsi="Times New Roman" w:cs="Times New Roman"/>
          <w:sz w:val="24"/>
          <w:szCs w:val="24"/>
        </w:rPr>
      </w:pPr>
      <w:r>
        <w:rPr>
          <w:rFonts w:ascii="Times New Roman" w:hAnsi="Times New Roman" w:cs="Times New Roman"/>
          <w:sz w:val="24"/>
          <w:szCs w:val="24"/>
        </w:rPr>
        <w:t>Člankom 5. stavkom 2. ZFPA propisano je da s</w:t>
      </w:r>
      <w:r w:rsidRPr="00515FFC">
        <w:rPr>
          <w:rFonts w:ascii="Times New Roman" w:hAnsi="Times New Roman" w:cs="Times New Roman"/>
          <w:sz w:val="24"/>
          <w:szCs w:val="24"/>
        </w:rPr>
        <w:t>redstva za redovito godišnje financiranje političkih stranaka i nezavisnih vijećnika iz proračuna jedinica samouprave dužna je osigurati jedinica samouprave u iznosu koji se određuje u proračunu jedinice samouprave za svaku godinu za koju se proračun donosi, s tim da visina sredstava po jednom članu predstavničkog tijela jedinice samouprave godišnje ne može biti određena u iznosu manjem od</w:t>
      </w:r>
      <w:r>
        <w:rPr>
          <w:rFonts w:ascii="Times New Roman" w:hAnsi="Times New Roman" w:cs="Times New Roman"/>
          <w:sz w:val="24"/>
          <w:szCs w:val="24"/>
        </w:rPr>
        <w:t xml:space="preserve"> </w:t>
      </w:r>
      <w:r w:rsidRPr="00515FFC">
        <w:rPr>
          <w:rFonts w:ascii="Times New Roman" w:hAnsi="Times New Roman" w:cs="Times New Roman"/>
          <w:sz w:val="24"/>
          <w:szCs w:val="24"/>
        </w:rPr>
        <w:t>2000,00 kuna u predstavničkom tijelu jedinice samouprave koja ima od 3001 do 10.000 stanovnika</w:t>
      </w:r>
      <w:r>
        <w:rPr>
          <w:rFonts w:ascii="Times New Roman" w:hAnsi="Times New Roman" w:cs="Times New Roman"/>
          <w:sz w:val="24"/>
          <w:szCs w:val="24"/>
        </w:rPr>
        <w:t>.</w:t>
      </w:r>
    </w:p>
    <w:p w14:paraId="0A6B18F9" w14:textId="77777777" w:rsidR="00515FFC" w:rsidRDefault="00515FFC" w:rsidP="00515FFC">
      <w:pPr>
        <w:spacing w:line="276" w:lineRule="auto"/>
        <w:jc w:val="both"/>
        <w:rPr>
          <w:rFonts w:ascii="Times New Roman" w:hAnsi="Times New Roman" w:cs="Times New Roman"/>
          <w:sz w:val="24"/>
          <w:szCs w:val="24"/>
        </w:rPr>
      </w:pPr>
    </w:p>
    <w:p w14:paraId="121C94A9" w14:textId="498675C2" w:rsidR="00515FFC" w:rsidRPr="00515FFC" w:rsidRDefault="00515FFC" w:rsidP="00515FFC">
      <w:pPr>
        <w:spacing w:line="276" w:lineRule="auto"/>
        <w:jc w:val="both"/>
        <w:rPr>
          <w:rFonts w:ascii="Times New Roman" w:hAnsi="Times New Roman" w:cs="Times New Roman"/>
          <w:sz w:val="24"/>
          <w:szCs w:val="24"/>
        </w:rPr>
      </w:pPr>
      <w:r>
        <w:rPr>
          <w:rFonts w:ascii="Times New Roman" w:hAnsi="Times New Roman" w:cs="Times New Roman"/>
          <w:sz w:val="24"/>
          <w:szCs w:val="24"/>
        </w:rPr>
        <w:t>Člankom 10. st. 3. ZFPA propisano je da o</w:t>
      </w:r>
      <w:r w:rsidRPr="00515FFC">
        <w:rPr>
          <w:rFonts w:ascii="Times New Roman" w:hAnsi="Times New Roman" w:cs="Times New Roman"/>
          <w:sz w:val="24"/>
          <w:szCs w:val="24"/>
        </w:rPr>
        <w:t>dluku o raspoređivanju sredstava iz proračuna jedinice samouprave donosi predstavničko tijelo jedinice samouprave. Raspoređena sredstva doznačuju se na žiroračun političke stranke odnosno na poseban račun nezavisnog vijećnika, tromjesečno u jednakim iznosima odnosno ako se početak ili završetak mandata ne poklapaju s početkom ili završetkom tromjesečja, u tom se tromjesečju isplaćuje iznos razmjeran broju dana trajanja mandata.</w:t>
      </w:r>
    </w:p>
    <w:p w14:paraId="59FC14D4" w14:textId="77777777" w:rsidR="00515FFC" w:rsidRPr="00515FFC" w:rsidRDefault="00515FFC" w:rsidP="00515FFC">
      <w:pPr>
        <w:spacing w:line="276" w:lineRule="auto"/>
        <w:jc w:val="both"/>
        <w:rPr>
          <w:rFonts w:ascii="Times New Roman" w:hAnsi="Times New Roman" w:cs="Times New Roman"/>
          <w:sz w:val="24"/>
          <w:szCs w:val="24"/>
        </w:rPr>
      </w:pPr>
    </w:p>
    <w:p w14:paraId="73C3468B" w14:textId="77777777" w:rsidR="00515FFC" w:rsidRDefault="00515FFC" w:rsidP="00515FFC">
      <w:pPr>
        <w:spacing w:line="276" w:lineRule="auto"/>
        <w:jc w:val="both"/>
        <w:rPr>
          <w:rFonts w:ascii="Times New Roman" w:hAnsi="Times New Roman" w:cs="Times New Roman"/>
        </w:rPr>
      </w:pPr>
    </w:p>
    <w:p w14:paraId="2576403A" w14:textId="77777777" w:rsidR="00515FFC" w:rsidRDefault="00515FFC" w:rsidP="00515FFC">
      <w:pPr>
        <w:spacing w:line="276" w:lineRule="auto"/>
        <w:jc w:val="both"/>
        <w:rPr>
          <w:rFonts w:ascii="Times New Roman" w:hAnsi="Times New Roman" w:cs="Times New Roman"/>
          <w:b/>
          <w:bCs/>
        </w:rPr>
      </w:pPr>
      <w:r w:rsidRPr="007F6BC3">
        <w:rPr>
          <w:rFonts w:ascii="Times New Roman" w:hAnsi="Times New Roman" w:cs="Times New Roman"/>
          <w:b/>
          <w:bCs/>
        </w:rPr>
        <w:t>Osnovna pitanja koja se uređuju aktom</w:t>
      </w:r>
    </w:p>
    <w:p w14:paraId="7E87B47D" w14:textId="77777777" w:rsidR="00515FFC" w:rsidRDefault="00515FFC" w:rsidP="00515FFC">
      <w:pPr>
        <w:spacing w:line="276" w:lineRule="auto"/>
        <w:jc w:val="both"/>
        <w:rPr>
          <w:rFonts w:ascii="Times New Roman" w:hAnsi="Times New Roman" w:cs="Times New Roman"/>
          <w:b/>
          <w:bCs/>
        </w:rPr>
      </w:pPr>
    </w:p>
    <w:p w14:paraId="7E3FAE67" w14:textId="280A5F18" w:rsidR="00515FFC" w:rsidRPr="00C112E1" w:rsidRDefault="00515FFC" w:rsidP="00515FFC">
      <w:pPr>
        <w:spacing w:line="276" w:lineRule="auto"/>
        <w:jc w:val="both"/>
        <w:rPr>
          <w:rFonts w:ascii="Times New Roman" w:hAnsi="Times New Roman" w:cs="Times New Roman"/>
          <w:sz w:val="24"/>
          <w:szCs w:val="24"/>
        </w:rPr>
      </w:pPr>
      <w:r w:rsidRPr="00C112E1">
        <w:rPr>
          <w:rFonts w:ascii="Times New Roman" w:hAnsi="Times New Roman" w:cs="Times New Roman"/>
          <w:sz w:val="24"/>
          <w:szCs w:val="24"/>
        </w:rPr>
        <w:t>Aktom se uređuje pitanje raspodjele sredstava za redovito financiranje političkih stranaka i nezavisnih vijećnika u Gradskom vijeću Grada Čazme u 2026. godini.</w:t>
      </w:r>
    </w:p>
    <w:p w14:paraId="563EAF70" w14:textId="77777777" w:rsidR="00515FFC" w:rsidRPr="00515FFC" w:rsidRDefault="00515FFC" w:rsidP="00515FFC">
      <w:pPr>
        <w:spacing w:line="276" w:lineRule="auto"/>
        <w:jc w:val="both"/>
        <w:rPr>
          <w:rFonts w:ascii="Times New Roman" w:hAnsi="Times New Roman" w:cs="Times New Roman"/>
        </w:rPr>
      </w:pPr>
    </w:p>
    <w:p w14:paraId="765429F7" w14:textId="77777777" w:rsidR="00515FFC" w:rsidRDefault="00515FFC" w:rsidP="00515FFC">
      <w:pPr>
        <w:spacing w:line="276" w:lineRule="auto"/>
        <w:rPr>
          <w:b/>
        </w:rPr>
      </w:pPr>
    </w:p>
    <w:p w14:paraId="5C190F8D" w14:textId="69B5964E" w:rsidR="00515FFC" w:rsidRDefault="00515FFC" w:rsidP="00515FFC">
      <w:pPr>
        <w:spacing w:line="276" w:lineRule="auto"/>
        <w:rPr>
          <w:rFonts w:ascii="Times New Roman" w:hAnsi="Times New Roman" w:cs="Times New Roman"/>
          <w:b/>
        </w:rPr>
      </w:pPr>
      <w:r w:rsidRPr="00515FFC">
        <w:rPr>
          <w:rFonts w:ascii="Times New Roman" w:hAnsi="Times New Roman" w:cs="Times New Roman"/>
          <w:b/>
        </w:rPr>
        <w:t>Obrazloženje</w:t>
      </w:r>
    </w:p>
    <w:p w14:paraId="463ED6C2" w14:textId="77777777" w:rsidR="00515FFC" w:rsidRDefault="00515FFC" w:rsidP="00515FFC">
      <w:pPr>
        <w:spacing w:line="276" w:lineRule="auto"/>
        <w:rPr>
          <w:rFonts w:ascii="Times New Roman" w:hAnsi="Times New Roman" w:cs="Times New Roman"/>
          <w:b/>
        </w:rPr>
      </w:pPr>
    </w:p>
    <w:p w14:paraId="6A5906D5" w14:textId="5F5DB2B1" w:rsidR="00515FFC" w:rsidRPr="00C112E1" w:rsidRDefault="00515FFC" w:rsidP="00515FFC">
      <w:pPr>
        <w:spacing w:line="276" w:lineRule="auto"/>
        <w:jc w:val="both"/>
        <w:rPr>
          <w:rFonts w:ascii="Times New Roman" w:hAnsi="Times New Roman" w:cs="Times New Roman"/>
          <w:bCs/>
          <w:sz w:val="24"/>
          <w:szCs w:val="24"/>
        </w:rPr>
      </w:pPr>
      <w:r w:rsidRPr="00C112E1">
        <w:rPr>
          <w:rFonts w:ascii="Times New Roman" w:hAnsi="Times New Roman" w:cs="Times New Roman"/>
          <w:bCs/>
          <w:sz w:val="24"/>
          <w:szCs w:val="24"/>
        </w:rPr>
        <w:t xml:space="preserve">Sukladno gore navedenim zakonskim odredbama, postoji obveza jedinica lokalne samouprave na donošenje akata o raspodjeli sredstava za redovito financiranje političkih stranaka i nezavisnih vijećnika. </w:t>
      </w:r>
      <w:r w:rsidR="008C599C">
        <w:rPr>
          <w:rFonts w:ascii="Times New Roman" w:hAnsi="Times New Roman" w:cs="Times New Roman"/>
          <w:bCs/>
          <w:sz w:val="24"/>
          <w:szCs w:val="24"/>
        </w:rPr>
        <w:t xml:space="preserve">U proračunu Grada Čazme za 2026. godinu za navedenu svrhu je predviđeno 3.588,00 eura. </w:t>
      </w:r>
      <w:r w:rsidRPr="00C112E1">
        <w:rPr>
          <w:rFonts w:ascii="Times New Roman" w:hAnsi="Times New Roman" w:cs="Times New Roman"/>
          <w:bCs/>
          <w:sz w:val="24"/>
          <w:szCs w:val="24"/>
        </w:rPr>
        <w:t>Kako sukladno zakonu, odluku donosi predstavničko tijelo, to se predlaže Gradskom vijeću Grada Čazme usvajanje ove Odluke.</w:t>
      </w:r>
    </w:p>
    <w:sectPr w:rsidR="00515FFC" w:rsidRPr="00C112E1">
      <w:pgSz w:w="11906" w:h="16838"/>
      <w:pgMar w:top="1417"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PDF417x">
    <w:altName w:val="Calibri"/>
    <w:panose1 w:val="02000000000000000000"/>
    <w:charset w:val="00"/>
    <w:family w:val="auto"/>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Heading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65D56226"/>
    <w:multiLevelType w:val="hybridMultilevel"/>
    <w:tmpl w:val="79146F3A"/>
    <w:lvl w:ilvl="0" w:tplc="E2D6BF7C">
      <w:start w:val="1"/>
      <w:numFmt w:val="bullet"/>
      <w:lvlText w:val="-"/>
      <w:lvlJc w:val="left"/>
      <w:pPr>
        <w:ind w:left="1080" w:hanging="360"/>
      </w:pPr>
      <w:rPr>
        <w:rFonts w:ascii="Times New Roman" w:eastAsiaTheme="minorHAnsi" w:hAnsi="Times New Roman" w:cs="Times New Roman"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6826480A"/>
    <w:multiLevelType w:val="hybridMultilevel"/>
    <w:tmpl w:val="27CE8F4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1926526125">
    <w:abstractNumId w:val="0"/>
  </w:num>
  <w:num w:numId="2" w16cid:durableId="1926450805">
    <w:abstractNumId w:val="2"/>
  </w:num>
  <w:num w:numId="3" w16cid:durableId="15404305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62A"/>
    <w:rsid w:val="00092E82"/>
    <w:rsid w:val="000F037B"/>
    <w:rsid w:val="00275B0C"/>
    <w:rsid w:val="002C7B0F"/>
    <w:rsid w:val="00347D72"/>
    <w:rsid w:val="003F65C1"/>
    <w:rsid w:val="00421BCF"/>
    <w:rsid w:val="00515FFC"/>
    <w:rsid w:val="00651AE9"/>
    <w:rsid w:val="00675A85"/>
    <w:rsid w:val="00693AB1"/>
    <w:rsid w:val="007F22EC"/>
    <w:rsid w:val="00832664"/>
    <w:rsid w:val="008A562A"/>
    <w:rsid w:val="008C599C"/>
    <w:rsid w:val="008C5FE5"/>
    <w:rsid w:val="009B7A12"/>
    <w:rsid w:val="00A60BD9"/>
    <w:rsid w:val="00A836D0"/>
    <w:rsid w:val="00AC35DA"/>
    <w:rsid w:val="00B6219B"/>
    <w:rsid w:val="00B92D0F"/>
    <w:rsid w:val="00C112E1"/>
    <w:rsid w:val="00C9578C"/>
    <w:rsid w:val="00D707B3"/>
    <w:rsid w:val="00E55405"/>
    <w:rsid w:val="00F34E03"/>
    <w:rsid w:val="00F5106D"/>
    <w:rsid w:val="00F80DBF"/>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8D96C1"/>
  <w15:docId w15:val="{7E9C13B6-BB92-4001-B652-D4CCA20A87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noProof/>
    </w:rPr>
  </w:style>
  <w:style w:type="paragraph" w:styleId="Heading1">
    <w:name w:val="heading 1"/>
    <w:basedOn w:val="Normal"/>
    <w:next w:val="Normal"/>
    <w:link w:val="Heading1Char"/>
    <w:qFormat/>
    <w:rsid w:val="000F037B"/>
    <w:pPr>
      <w:keepNext/>
      <w:numPr>
        <w:numId w:val="1"/>
      </w:numPr>
      <w:suppressAutoHyphens/>
      <w:jc w:val="center"/>
      <w:outlineLvl w:val="0"/>
    </w:pPr>
    <w:rPr>
      <w:rFonts w:ascii="Times New Roman" w:eastAsia="Times New Roman" w:hAnsi="Times New Roman" w:cs="Times New Roman"/>
      <w:b/>
      <w:noProof w:val="0"/>
      <w:sz w:val="24"/>
      <w:szCs w:val="20"/>
      <w:lang w:val="en-GB"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semiHidden/>
    <w:unhideWhenUsed/>
    <w:rPr>
      <w:color w:val="0000FF"/>
      <w:u w:val="single"/>
    </w:rPr>
  </w:style>
  <w:style w:type="table" w:customStyle="1" w:styleId="TableGrid1">
    <w:name w:val="Table Grid1"/>
    <w:basedOn w:val="TableNormal"/>
    <w:next w:val="TableGrid"/>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0F037B"/>
    <w:rPr>
      <w:rFonts w:ascii="Times New Roman" w:eastAsia="Times New Roman" w:hAnsi="Times New Roman" w:cs="Times New Roman"/>
      <w:b/>
      <w:sz w:val="24"/>
      <w:szCs w:val="20"/>
      <w:lang w:val="en-GB" w:eastAsia="ar-SA"/>
    </w:rPr>
  </w:style>
  <w:style w:type="paragraph" w:styleId="BodyText">
    <w:name w:val="Body Text"/>
    <w:basedOn w:val="Normal"/>
    <w:link w:val="BodyTextChar"/>
    <w:rsid w:val="000F037B"/>
    <w:pPr>
      <w:suppressAutoHyphens/>
      <w:jc w:val="both"/>
    </w:pPr>
    <w:rPr>
      <w:rFonts w:ascii="Times New Roman" w:eastAsia="Times New Roman" w:hAnsi="Times New Roman" w:cs="Times New Roman"/>
      <w:noProof w:val="0"/>
      <w:sz w:val="24"/>
      <w:szCs w:val="20"/>
      <w:lang w:val="en-GB" w:eastAsia="ar-SA"/>
    </w:rPr>
  </w:style>
  <w:style w:type="character" w:customStyle="1" w:styleId="BodyTextChar">
    <w:name w:val="Body Text Char"/>
    <w:basedOn w:val="DefaultParagraphFont"/>
    <w:link w:val="BodyText"/>
    <w:rsid w:val="000F037B"/>
    <w:rPr>
      <w:rFonts w:ascii="Times New Roman" w:eastAsia="Times New Roman" w:hAnsi="Times New Roman" w:cs="Times New Roman"/>
      <w:sz w:val="24"/>
      <w:szCs w:val="20"/>
      <w:lang w:val="en-GB" w:eastAsia="ar-SA"/>
    </w:rPr>
  </w:style>
  <w:style w:type="paragraph" w:styleId="ListParagraph">
    <w:name w:val="List Paragraph"/>
    <w:basedOn w:val="Normal"/>
    <w:uiPriority w:val="34"/>
    <w:qFormat/>
    <w:rsid w:val="00A60B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1338269">
      <w:bodyDiv w:val="1"/>
      <w:marLeft w:val="0"/>
      <w:marRight w:val="0"/>
      <w:marTop w:val="0"/>
      <w:marBottom w:val="0"/>
      <w:divBdr>
        <w:top w:val="none" w:sz="0" w:space="0" w:color="auto"/>
        <w:left w:val="none" w:sz="0" w:space="0" w:color="auto"/>
        <w:bottom w:val="none" w:sz="0" w:space="0" w:color="auto"/>
        <w:right w:val="none" w:sz="0" w:space="0" w:color="auto"/>
      </w:divBdr>
    </w:div>
    <w:div w:id="1268467025">
      <w:bodyDiv w:val="1"/>
      <w:marLeft w:val="0"/>
      <w:marRight w:val="0"/>
      <w:marTop w:val="0"/>
      <w:marBottom w:val="0"/>
      <w:divBdr>
        <w:top w:val="none" w:sz="0" w:space="0" w:color="auto"/>
        <w:left w:val="none" w:sz="0" w:space="0" w:color="auto"/>
        <w:bottom w:val="none" w:sz="0" w:space="0" w:color="auto"/>
        <w:right w:val="none" w:sz="0" w:space="0" w:color="auto"/>
      </w:divBdr>
    </w:div>
    <w:div w:id="1460034233">
      <w:bodyDiv w:val="1"/>
      <w:marLeft w:val="0"/>
      <w:marRight w:val="0"/>
      <w:marTop w:val="0"/>
      <w:marBottom w:val="0"/>
      <w:divBdr>
        <w:top w:val="none" w:sz="0" w:space="0" w:color="auto"/>
        <w:left w:val="none" w:sz="0" w:space="0" w:color="auto"/>
        <w:bottom w:val="none" w:sz="0" w:space="0" w:color="auto"/>
        <w:right w:val="none" w:sz="0" w:space="0" w:color="auto"/>
      </w:divBdr>
    </w:div>
    <w:div w:id="163382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a="http://schemas.openxmlformats.org/drawingml/2006/main" xmlns:a14="http://schemas.microsoft.com/office/drawing/2010/main" xmlns:wp="http://schemas.openxmlformats.org/drawingml/2006/wordprocessingDrawing" xmlns:wp14="http://schemas.microsoft.com/office/word/2010/wordprocessingDrawing"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XSL" StyleName="APA"/>
</file>

<file path=customXml/itemProps1.xml><?xml version="1.0" encoding="utf-8"?>
<ds:datastoreItem xmlns:ds="http://schemas.openxmlformats.org/officeDocument/2006/customXml" ds:itemID="{6F90C402-595A-4E38-B80E-0F46F237F9B1}">
  <ds:schemaRefs>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main"/>
    <ds:schemaRef ds:uri="http://schemas.microsoft.com/office/drawing/2010/main"/>
    <ds:schemaRef ds:uri="http://schemas.openxmlformats.org/drawingml/2006/wordprocessingDrawing"/>
    <ds:schemaRef ds:uri="http://schemas.microsoft.com/office/word/2010/wordprocessingDrawing"/>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810</Words>
  <Characters>4619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MIKRESIMIR</dc:creator>
  <cp:lastModifiedBy>Ana Dujić</cp:lastModifiedBy>
  <cp:revision>4</cp:revision>
  <cp:lastPrinted>2025-06-24T08:57:00Z</cp:lastPrinted>
  <dcterms:created xsi:type="dcterms:W3CDTF">2026-02-11T13:44:00Z</dcterms:created>
  <dcterms:modified xsi:type="dcterms:W3CDTF">2026-03-05T10:30:00Z</dcterms:modified>
</cp:coreProperties>
</file>